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4B1E4">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方正小标宋_GBK" w:hAnsi="方正小标宋_GBK" w:eastAsia="方正小标宋_GBK" w:cs="方正小标宋_GBK"/>
          <w:bCs/>
          <w:color w:val="000000"/>
          <w:sz w:val="44"/>
          <w:szCs w:val="44"/>
        </w:rPr>
      </w:pPr>
      <w:r>
        <w:rPr>
          <w:rFonts w:hint="eastAsia" w:ascii="方正小标宋_GBK" w:hAnsi="方正小标宋_GBK" w:eastAsia="方正小标宋_GBK" w:cs="方正小标宋_GBK"/>
          <w:bCs/>
          <w:color w:val="000000"/>
          <w:sz w:val="44"/>
          <w:szCs w:val="44"/>
          <w:lang w:eastAsia="zh-CN"/>
        </w:rPr>
        <w:t>“</w:t>
      </w:r>
      <w:bookmarkStart w:id="0" w:name="_GoBack"/>
      <w:bookmarkEnd w:id="0"/>
      <w:r>
        <w:rPr>
          <w:rFonts w:hint="eastAsia" w:ascii="方正小标宋_GBK" w:hAnsi="方正小标宋_GBK" w:eastAsia="方正小标宋_GBK" w:cs="方正小标宋_GBK"/>
          <w:bCs/>
          <w:color w:val="000000"/>
          <w:sz w:val="44"/>
          <w:szCs w:val="44"/>
        </w:rPr>
        <w:t>双随机、一公开”监管月报表</w:t>
      </w:r>
    </w:p>
    <w:p w14:paraId="7C934500">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黑体" w:hAnsi="黑体" w:eastAsia="黑体" w:cs="黑体"/>
          <w:bCs/>
          <w:color w:val="000000"/>
          <w:sz w:val="32"/>
          <w:szCs w:val="32"/>
          <w:lang w:eastAsia="zh-CN"/>
        </w:rPr>
      </w:pPr>
      <w:r>
        <w:rPr>
          <w:rFonts w:hint="eastAsia" w:ascii="黑体" w:hAnsi="黑体" w:eastAsia="黑体" w:cs="黑体"/>
          <w:bCs/>
          <w:color w:val="000000"/>
          <w:sz w:val="32"/>
          <w:szCs w:val="32"/>
          <w:lang w:eastAsia="zh-CN"/>
        </w:rPr>
        <w:t>（本年度累计数据）</w:t>
      </w:r>
    </w:p>
    <w:p w14:paraId="3C192DB0">
      <w:pPr>
        <w:keepNext w:val="0"/>
        <w:keepLines w:val="0"/>
        <w:pageBreakBefore w:val="0"/>
        <w:widowControl w:val="0"/>
        <w:kinsoku/>
        <w:wordWrap/>
        <w:overflowPunct/>
        <w:topLinePunct w:val="0"/>
        <w:autoSpaceDE/>
        <w:autoSpaceDN/>
        <w:bidi w:val="0"/>
        <w:adjustRightInd/>
        <w:snapToGrid/>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单位名称：</w:t>
      </w:r>
      <w:r>
        <w:rPr>
          <w:rFonts w:hint="eastAsia" w:ascii="仿宋_GB2312" w:hAnsi="仿宋_GB2312" w:eastAsia="仿宋_GB2312" w:cs="仿宋_GB2312"/>
          <w:color w:val="000000"/>
          <w:sz w:val="30"/>
          <w:szCs w:val="30"/>
          <w:u w:val="single"/>
        </w:rPr>
        <w:t xml:space="preserve">      </w:t>
      </w:r>
      <w:r>
        <w:rPr>
          <w:rFonts w:hint="eastAsia" w:ascii="仿宋_GB2312" w:hAnsi="仿宋_GB2312" w:cs="仿宋_GB2312"/>
          <w:color w:val="000000"/>
          <w:sz w:val="30"/>
          <w:szCs w:val="30"/>
          <w:u w:val="single"/>
          <w:lang w:val="en-US" w:eastAsia="zh-CN"/>
        </w:rPr>
        <w:t xml:space="preserve">         </w:t>
      </w:r>
      <w:r>
        <w:rPr>
          <w:rFonts w:hint="eastAsia" w:ascii="仿宋_GB2312" w:hAnsi="仿宋_GB2312" w:eastAsia="仿宋_GB2312" w:cs="仿宋_GB2312"/>
          <w:color w:val="000000"/>
          <w:sz w:val="30"/>
          <w:szCs w:val="30"/>
          <w:u w:val="single"/>
        </w:rPr>
        <w:t xml:space="preserve"> </w:t>
      </w:r>
      <w:r>
        <w:rPr>
          <w:rFonts w:hint="eastAsia" w:ascii="仿宋_GB2312" w:hAnsi="仿宋_GB2312" w:cs="仿宋_GB2312"/>
          <w:color w:val="000000"/>
          <w:sz w:val="30"/>
          <w:szCs w:val="30"/>
          <w:u w:val="none"/>
          <w:lang w:val="en-US" w:eastAsia="zh-CN"/>
        </w:rPr>
        <w:t xml:space="preserve">  </w:t>
      </w:r>
      <w:r>
        <w:rPr>
          <w:rFonts w:hint="eastAsia" w:ascii="仿宋_GB2312" w:hAnsi="仿宋_GB2312" w:eastAsia="仿宋_GB2312" w:cs="仿宋_GB2312"/>
          <w:color w:val="000000"/>
          <w:sz w:val="30"/>
          <w:szCs w:val="30"/>
        </w:rPr>
        <w:t>填表时间：</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年</w:t>
      </w:r>
      <w:r>
        <w:rPr>
          <w:rFonts w:hint="eastAsia" w:ascii="仿宋_GB2312" w:hAnsi="仿宋_GB2312" w:eastAsia="仿宋_GB2312" w:cs="仿宋_GB2312"/>
          <w:color w:val="000000"/>
          <w:sz w:val="30"/>
          <w:szCs w:val="30"/>
          <w:u w:val="single"/>
        </w:rPr>
        <w:t xml:space="preserve"> </w:t>
      </w:r>
      <w:r>
        <w:rPr>
          <w:rFonts w:hint="eastAsia" w:ascii="仿宋_GB2312" w:hAnsi="仿宋_GB2312" w:cs="仿宋_GB2312"/>
          <w:color w:val="000000"/>
          <w:sz w:val="30"/>
          <w:szCs w:val="30"/>
          <w:u w:val="single"/>
          <w:lang w:val="en-US" w:eastAsia="zh-CN"/>
        </w:rPr>
        <w:t xml:space="preserve"> </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月</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日</w:t>
      </w:r>
    </w:p>
    <w:p w14:paraId="24ACB593">
      <w:pPr>
        <w:keepNext w:val="0"/>
        <w:keepLines w:val="0"/>
        <w:pageBreakBefore w:val="0"/>
        <w:widowControl w:val="0"/>
        <w:kinsoku/>
        <w:wordWrap/>
        <w:overflowPunct/>
        <w:topLinePunct w:val="0"/>
        <w:autoSpaceDE/>
        <w:autoSpaceDN/>
        <w:bidi w:val="0"/>
        <w:adjustRightInd/>
        <w:snapToGrid/>
        <w:textAlignment w:val="auto"/>
        <w:outlineLvl w:val="9"/>
        <w:rPr>
          <w:rFonts w:hint="eastAsia" w:ascii="仿宋_GB2312" w:hAnsi="仿宋_GB2312" w:eastAsia="仿宋_GB2312" w:cs="仿宋_GB2312"/>
          <w:color w:val="000000"/>
          <w:sz w:val="30"/>
          <w:szCs w:val="30"/>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1"/>
        <w:gridCol w:w="1155"/>
        <w:gridCol w:w="1016"/>
        <w:gridCol w:w="1999"/>
        <w:gridCol w:w="1411"/>
      </w:tblGrid>
      <w:tr w14:paraId="63E7F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41" w:type="dxa"/>
            <w:noWrap w:val="0"/>
            <w:vAlign w:val="top"/>
          </w:tcPr>
          <w:p w14:paraId="07DA1283">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仿宋_GB2312" w:cs="Times New Roman"/>
                <w:color w:val="000000"/>
                <w:sz w:val="28"/>
                <w:szCs w:val="28"/>
                <w:vertAlign w:val="baseline"/>
                <w:lang w:val="en-US" w:eastAsia="zh-CN"/>
              </w:rPr>
            </w:pPr>
            <w:r>
              <w:rPr>
                <w:rFonts w:hint="eastAsia" w:ascii="Times New Roman" w:hAnsi="Times New Roman" w:eastAsia="仿宋_GB2312" w:cs="Times New Roman"/>
                <w:color w:val="000000"/>
                <w:sz w:val="28"/>
                <w:szCs w:val="28"/>
                <w:vertAlign w:val="baseline"/>
                <w:lang w:val="en-US" w:eastAsia="zh-CN"/>
              </w:rPr>
              <w:t>抽查类别</w:t>
            </w:r>
          </w:p>
        </w:tc>
        <w:tc>
          <w:tcPr>
            <w:tcW w:w="1155" w:type="dxa"/>
            <w:noWrap w:val="0"/>
            <w:vAlign w:val="top"/>
          </w:tcPr>
          <w:p w14:paraId="6E02FE88">
            <w:pPr>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eastAsia="仿宋_GB2312" w:cs="Times New Roman"/>
                <w:color w:val="000000"/>
                <w:sz w:val="28"/>
                <w:szCs w:val="28"/>
                <w:vertAlign w:val="baseline"/>
                <w:lang w:val="en-US" w:eastAsia="zh-CN"/>
              </w:rPr>
            </w:pPr>
            <w:r>
              <w:rPr>
                <w:rFonts w:hint="eastAsia" w:ascii="Times New Roman" w:hAnsi="Times New Roman" w:eastAsia="仿宋_GB2312" w:cs="Times New Roman"/>
                <w:color w:val="000000"/>
                <w:sz w:val="28"/>
                <w:szCs w:val="28"/>
                <w:vertAlign w:val="baseline"/>
                <w:lang w:val="en-US" w:eastAsia="zh-CN"/>
              </w:rPr>
              <w:t>次数</w:t>
            </w:r>
          </w:p>
        </w:tc>
        <w:tc>
          <w:tcPr>
            <w:tcW w:w="1016" w:type="dxa"/>
            <w:noWrap w:val="0"/>
            <w:vAlign w:val="top"/>
          </w:tcPr>
          <w:p w14:paraId="4CC2FF2B">
            <w:pPr>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eastAsia="仿宋_GB2312" w:cs="Times New Roman"/>
                <w:color w:val="000000"/>
                <w:sz w:val="28"/>
                <w:szCs w:val="28"/>
                <w:vertAlign w:val="baseline"/>
                <w:lang w:val="en-US" w:eastAsia="zh-CN"/>
              </w:rPr>
            </w:pPr>
            <w:r>
              <w:rPr>
                <w:rFonts w:hint="eastAsia" w:ascii="Times New Roman" w:hAnsi="Times New Roman" w:eastAsia="仿宋_GB2312" w:cs="Times New Roman"/>
                <w:color w:val="000000"/>
                <w:sz w:val="28"/>
                <w:szCs w:val="28"/>
                <w:vertAlign w:val="baseline"/>
                <w:lang w:val="en-US" w:eastAsia="zh-CN"/>
              </w:rPr>
              <w:t>户数</w:t>
            </w:r>
          </w:p>
        </w:tc>
        <w:tc>
          <w:tcPr>
            <w:tcW w:w="1999" w:type="dxa"/>
            <w:noWrap w:val="0"/>
            <w:vAlign w:val="top"/>
          </w:tcPr>
          <w:p w14:paraId="723B376B">
            <w:pPr>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eastAsia="仿宋_GB2312" w:cs="Times New Roman"/>
                <w:color w:val="000000"/>
                <w:sz w:val="28"/>
                <w:szCs w:val="28"/>
                <w:vertAlign w:val="baseline"/>
                <w:lang w:val="en-US" w:eastAsia="zh-CN"/>
              </w:rPr>
            </w:pPr>
            <w:r>
              <w:rPr>
                <w:rFonts w:hint="eastAsia" w:ascii="Times New Roman" w:hAnsi="Times New Roman" w:eastAsia="仿宋_GB2312" w:cs="Times New Roman"/>
                <w:color w:val="000000"/>
                <w:sz w:val="28"/>
                <w:szCs w:val="28"/>
                <w:vertAlign w:val="baseline"/>
                <w:lang w:val="en-US" w:eastAsia="zh-CN"/>
              </w:rPr>
              <w:t>发现问题户数</w:t>
            </w:r>
          </w:p>
        </w:tc>
        <w:tc>
          <w:tcPr>
            <w:tcW w:w="1411" w:type="dxa"/>
            <w:noWrap w:val="0"/>
            <w:vAlign w:val="top"/>
          </w:tcPr>
          <w:p w14:paraId="15C1BC0D">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仿宋_GB2312" w:cs="Times New Roman"/>
                <w:color w:val="000000"/>
                <w:sz w:val="28"/>
                <w:szCs w:val="28"/>
                <w:vertAlign w:val="baseline"/>
                <w:lang w:val="en-US" w:eastAsia="zh-CN"/>
              </w:rPr>
            </w:pPr>
            <w:r>
              <w:rPr>
                <w:rFonts w:hint="eastAsia" w:ascii="Times New Roman" w:hAnsi="Times New Roman" w:eastAsia="仿宋_GB2312" w:cs="Times New Roman"/>
                <w:color w:val="000000"/>
                <w:sz w:val="28"/>
                <w:szCs w:val="28"/>
                <w:vertAlign w:val="baseline"/>
                <w:lang w:val="en-US" w:eastAsia="zh-CN"/>
              </w:rPr>
              <w:t>备注</w:t>
            </w:r>
          </w:p>
        </w:tc>
      </w:tr>
      <w:tr w14:paraId="01A2B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1" w:type="dxa"/>
            <w:noWrap w:val="0"/>
            <w:vAlign w:val="top"/>
          </w:tcPr>
          <w:p w14:paraId="68B3C24F">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仿宋_GB2312" w:cs="Times New Roman"/>
                <w:color w:val="000000"/>
                <w:sz w:val="28"/>
                <w:szCs w:val="28"/>
                <w:vertAlign w:val="baseline"/>
                <w:lang w:val="en-US" w:eastAsia="zh-CN"/>
              </w:rPr>
            </w:pPr>
            <w:r>
              <w:rPr>
                <w:rFonts w:hint="eastAsia" w:ascii="Times New Roman" w:hAnsi="Times New Roman" w:eastAsia="仿宋_GB2312" w:cs="Times New Roman"/>
                <w:color w:val="000000"/>
                <w:sz w:val="28"/>
                <w:szCs w:val="28"/>
                <w:vertAlign w:val="baseline"/>
                <w:lang w:val="en-US" w:eastAsia="zh-CN"/>
              </w:rPr>
              <w:t>本地区开展抽查</w:t>
            </w:r>
          </w:p>
        </w:tc>
        <w:tc>
          <w:tcPr>
            <w:tcW w:w="1155" w:type="dxa"/>
            <w:noWrap w:val="0"/>
            <w:vAlign w:val="top"/>
          </w:tcPr>
          <w:p w14:paraId="404B1CA7">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rPr>
            </w:pPr>
          </w:p>
        </w:tc>
        <w:tc>
          <w:tcPr>
            <w:tcW w:w="1016" w:type="dxa"/>
            <w:noWrap w:val="0"/>
            <w:vAlign w:val="top"/>
          </w:tcPr>
          <w:p w14:paraId="6939CB18">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rPr>
            </w:pPr>
          </w:p>
        </w:tc>
        <w:tc>
          <w:tcPr>
            <w:tcW w:w="1999" w:type="dxa"/>
            <w:noWrap w:val="0"/>
            <w:vAlign w:val="top"/>
          </w:tcPr>
          <w:p w14:paraId="2CA11362">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rPr>
            </w:pPr>
          </w:p>
        </w:tc>
        <w:tc>
          <w:tcPr>
            <w:tcW w:w="1411" w:type="dxa"/>
            <w:noWrap w:val="0"/>
            <w:vAlign w:val="top"/>
          </w:tcPr>
          <w:p w14:paraId="2247C0B9">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rPr>
            </w:pPr>
          </w:p>
        </w:tc>
      </w:tr>
      <w:tr w14:paraId="14FF2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1" w:type="dxa"/>
            <w:noWrap w:val="0"/>
            <w:vAlign w:val="top"/>
          </w:tcPr>
          <w:p w14:paraId="5B0751E8">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仿宋_GB2312" w:cs="Times New Roman"/>
                <w:color w:val="000000"/>
                <w:sz w:val="28"/>
                <w:szCs w:val="28"/>
                <w:vertAlign w:val="baseline"/>
                <w:lang w:val="en-US" w:eastAsia="zh-CN"/>
              </w:rPr>
            </w:pPr>
            <w:r>
              <w:rPr>
                <w:rFonts w:hint="eastAsia" w:ascii="Times New Roman" w:hAnsi="Times New Roman" w:eastAsia="仿宋_GB2312" w:cs="Times New Roman"/>
                <w:color w:val="000000"/>
                <w:sz w:val="28"/>
                <w:szCs w:val="28"/>
                <w:vertAlign w:val="baseline"/>
                <w:lang w:val="en-US" w:eastAsia="zh-CN"/>
              </w:rPr>
              <w:t>本地区涉及企业的随机抽查</w:t>
            </w:r>
          </w:p>
        </w:tc>
        <w:tc>
          <w:tcPr>
            <w:tcW w:w="1155" w:type="dxa"/>
            <w:noWrap w:val="0"/>
            <w:vAlign w:val="top"/>
          </w:tcPr>
          <w:p w14:paraId="5AF0DFC8">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rPr>
            </w:pPr>
          </w:p>
        </w:tc>
        <w:tc>
          <w:tcPr>
            <w:tcW w:w="1016" w:type="dxa"/>
            <w:noWrap w:val="0"/>
            <w:vAlign w:val="top"/>
          </w:tcPr>
          <w:p w14:paraId="5D38A491">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rPr>
            </w:pPr>
          </w:p>
        </w:tc>
        <w:tc>
          <w:tcPr>
            <w:tcW w:w="1999" w:type="dxa"/>
            <w:noWrap w:val="0"/>
            <w:vAlign w:val="top"/>
          </w:tcPr>
          <w:p w14:paraId="71569E20">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rPr>
            </w:pPr>
          </w:p>
        </w:tc>
        <w:tc>
          <w:tcPr>
            <w:tcW w:w="1411" w:type="dxa"/>
            <w:noWrap w:val="0"/>
            <w:vAlign w:val="top"/>
          </w:tcPr>
          <w:p w14:paraId="0C090446">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rPr>
            </w:pPr>
          </w:p>
        </w:tc>
      </w:tr>
      <w:tr w14:paraId="2373A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1" w:type="dxa"/>
            <w:noWrap w:val="0"/>
            <w:vAlign w:val="top"/>
          </w:tcPr>
          <w:p w14:paraId="0FC77671">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仿宋_GB2312" w:cs="Times New Roman"/>
                <w:color w:val="000000"/>
                <w:sz w:val="28"/>
                <w:szCs w:val="28"/>
                <w:vertAlign w:val="baseline"/>
                <w:lang w:val="en-US" w:eastAsia="zh-CN"/>
              </w:rPr>
            </w:pPr>
            <w:r>
              <w:rPr>
                <w:rFonts w:hint="eastAsia" w:ascii="Times New Roman" w:hAnsi="Times New Roman" w:eastAsia="仿宋_GB2312" w:cs="Times New Roman"/>
                <w:color w:val="000000"/>
                <w:sz w:val="28"/>
                <w:szCs w:val="28"/>
                <w:vertAlign w:val="baseline"/>
                <w:lang w:val="en-US" w:eastAsia="zh-CN"/>
              </w:rPr>
              <w:t>本地区利用企业信用风险分级分类开展随机抽查</w:t>
            </w:r>
          </w:p>
        </w:tc>
        <w:tc>
          <w:tcPr>
            <w:tcW w:w="1155" w:type="dxa"/>
            <w:noWrap w:val="0"/>
            <w:vAlign w:val="top"/>
          </w:tcPr>
          <w:p w14:paraId="1B64E805">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rPr>
            </w:pPr>
          </w:p>
        </w:tc>
        <w:tc>
          <w:tcPr>
            <w:tcW w:w="1016" w:type="dxa"/>
            <w:noWrap w:val="0"/>
            <w:vAlign w:val="top"/>
          </w:tcPr>
          <w:p w14:paraId="5005035B">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rPr>
            </w:pPr>
          </w:p>
        </w:tc>
        <w:tc>
          <w:tcPr>
            <w:tcW w:w="1999" w:type="dxa"/>
            <w:noWrap w:val="0"/>
            <w:vAlign w:val="top"/>
          </w:tcPr>
          <w:p w14:paraId="2B1434D1">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rPr>
            </w:pPr>
          </w:p>
        </w:tc>
        <w:tc>
          <w:tcPr>
            <w:tcW w:w="1411" w:type="dxa"/>
            <w:noWrap w:val="0"/>
            <w:vAlign w:val="top"/>
          </w:tcPr>
          <w:p w14:paraId="7EDC39ED">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rPr>
            </w:pPr>
          </w:p>
        </w:tc>
      </w:tr>
      <w:tr w14:paraId="4E2FF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9" w:hRule="atLeast"/>
        </w:trPr>
        <w:tc>
          <w:tcPr>
            <w:tcW w:w="8522" w:type="dxa"/>
            <w:gridSpan w:val="5"/>
            <w:noWrap w:val="0"/>
            <w:vAlign w:val="top"/>
          </w:tcPr>
          <w:p w14:paraId="52B8908A">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仿宋_GB2312" w:cs="Times New Roman"/>
                <w:color w:val="000000"/>
                <w:sz w:val="28"/>
                <w:szCs w:val="28"/>
                <w:vertAlign w:val="baseline"/>
                <w:lang w:val="en-US" w:eastAsia="zh-CN"/>
              </w:rPr>
            </w:pPr>
            <w:r>
              <w:rPr>
                <w:rFonts w:hint="eastAsia" w:ascii="Times New Roman" w:hAnsi="Times New Roman" w:eastAsia="仿宋_GB2312" w:cs="Times New Roman"/>
                <w:color w:val="000000"/>
                <w:sz w:val="28"/>
                <w:szCs w:val="28"/>
                <w:vertAlign w:val="baseline"/>
                <w:lang w:val="en-US" w:eastAsia="zh-CN"/>
              </w:rPr>
              <w:t>说明：</w:t>
            </w:r>
          </w:p>
          <w:p w14:paraId="65BF2575">
            <w:pPr>
              <w:keepNext w:val="0"/>
              <w:keepLines w:val="0"/>
              <w:pageBreakBefore w:val="0"/>
              <w:widowControl w:val="0"/>
              <w:numPr>
                <w:ilvl w:val="0"/>
                <w:numId w:val="1"/>
              </w:numPr>
              <w:kinsoku/>
              <w:wordWrap/>
              <w:overflowPunct/>
              <w:topLinePunct w:val="0"/>
              <w:autoSpaceDE/>
              <w:autoSpaceDN/>
              <w:bidi w:val="0"/>
              <w:adjustRightInd/>
              <w:snapToGrid/>
              <w:ind w:left="560" w:leftChars="0" w:firstLine="0" w:firstLineChars="0"/>
              <w:jc w:val="both"/>
              <w:textAlignment w:val="auto"/>
              <w:outlineLvl w:val="9"/>
              <w:rPr>
                <w:rFonts w:hint="eastAsia" w:ascii="Times New Roman" w:hAnsi="Times New Roman" w:eastAsia="仿宋_GB2312" w:cs="Times New Roman"/>
                <w:color w:val="000000"/>
                <w:sz w:val="28"/>
                <w:szCs w:val="28"/>
                <w:vertAlign w:val="baseline"/>
                <w:lang w:val="en-US" w:eastAsia="zh-CN"/>
              </w:rPr>
            </w:pPr>
            <w:r>
              <w:rPr>
                <w:rFonts w:hint="eastAsia" w:ascii="Times New Roman" w:hAnsi="Times New Roman" w:eastAsia="仿宋_GB2312" w:cs="Times New Roman"/>
                <w:color w:val="000000"/>
                <w:sz w:val="28"/>
                <w:szCs w:val="28"/>
                <w:vertAlign w:val="baseline"/>
                <w:lang w:val="en-US" w:eastAsia="zh-CN"/>
              </w:rPr>
              <w:t>本表上报数据为累计数据，每月22日前报张玉新邮箱。</w:t>
            </w:r>
          </w:p>
          <w:p w14:paraId="021A3031">
            <w:pPr>
              <w:keepNext w:val="0"/>
              <w:keepLines w:val="0"/>
              <w:pageBreakBefore w:val="0"/>
              <w:widowControl w:val="0"/>
              <w:numPr>
                <w:ilvl w:val="0"/>
                <w:numId w:val="1"/>
              </w:numPr>
              <w:kinsoku/>
              <w:wordWrap/>
              <w:overflowPunct/>
              <w:topLinePunct w:val="0"/>
              <w:autoSpaceDE/>
              <w:autoSpaceDN/>
              <w:bidi w:val="0"/>
              <w:adjustRightInd/>
              <w:snapToGrid/>
              <w:ind w:left="560" w:leftChars="0" w:firstLine="0" w:firstLineChars="0"/>
              <w:jc w:val="both"/>
              <w:textAlignment w:val="auto"/>
              <w:outlineLvl w:val="9"/>
              <w:rPr>
                <w:rFonts w:hint="default" w:ascii="Times New Roman" w:hAnsi="Times New Roman" w:eastAsia="仿宋_GB2312" w:cs="Times New Roman"/>
                <w:color w:val="000000"/>
                <w:sz w:val="28"/>
                <w:szCs w:val="28"/>
                <w:vertAlign w:val="baseline"/>
                <w:lang w:val="en-US" w:eastAsia="zh-CN"/>
              </w:rPr>
            </w:pPr>
            <w:r>
              <w:rPr>
                <w:rFonts w:hint="eastAsia" w:ascii="Times New Roman" w:hAnsi="Times New Roman" w:eastAsia="仿宋_GB2312" w:cs="Times New Roman"/>
                <w:color w:val="000000"/>
                <w:sz w:val="28"/>
                <w:szCs w:val="28"/>
                <w:vertAlign w:val="baseline"/>
                <w:lang w:val="en-US" w:eastAsia="zh-CN"/>
              </w:rPr>
              <w:t>本地区开展抽查的数据为每月的总数据，次数为各单位专卖系统双随机监管抽取次数</w:t>
            </w:r>
            <w:r>
              <w:rPr>
                <w:rFonts w:hint="eastAsia" w:ascii="Times New Roman" w:hAnsi="Times New Roman" w:cs="Times New Roman"/>
                <w:color w:val="000000"/>
                <w:sz w:val="28"/>
                <w:szCs w:val="28"/>
                <w:vertAlign w:val="baseline"/>
                <w:lang w:val="en-US" w:eastAsia="zh-CN"/>
              </w:rPr>
              <w:t>。</w:t>
            </w:r>
          </w:p>
          <w:p w14:paraId="064DF4C5">
            <w:pPr>
              <w:keepNext w:val="0"/>
              <w:keepLines w:val="0"/>
              <w:pageBreakBefore w:val="0"/>
              <w:widowControl w:val="0"/>
              <w:numPr>
                <w:ilvl w:val="0"/>
                <w:numId w:val="1"/>
              </w:numPr>
              <w:kinsoku/>
              <w:wordWrap/>
              <w:overflowPunct/>
              <w:topLinePunct w:val="0"/>
              <w:autoSpaceDE/>
              <w:autoSpaceDN/>
              <w:bidi w:val="0"/>
              <w:adjustRightInd/>
              <w:snapToGrid/>
              <w:ind w:left="560" w:leftChars="0" w:firstLine="0" w:firstLineChars="0"/>
              <w:jc w:val="both"/>
              <w:textAlignment w:val="auto"/>
              <w:outlineLvl w:val="9"/>
              <w:rPr>
                <w:rFonts w:hint="default" w:ascii="Times New Roman" w:hAnsi="Times New Roman" w:eastAsia="仿宋_GB2312" w:cs="Times New Roman"/>
                <w:color w:val="000000"/>
                <w:sz w:val="28"/>
                <w:szCs w:val="28"/>
                <w:vertAlign w:val="baseline"/>
                <w:lang w:val="en-US" w:eastAsia="zh-CN"/>
              </w:rPr>
            </w:pPr>
            <w:r>
              <w:rPr>
                <w:rFonts w:hint="eastAsia" w:ascii="Times New Roman" w:hAnsi="Times New Roman" w:eastAsia="仿宋_GB2312" w:cs="Times New Roman"/>
                <w:color w:val="000000"/>
                <w:sz w:val="28"/>
                <w:szCs w:val="28"/>
                <w:vertAlign w:val="baseline"/>
                <w:lang w:val="en-US" w:eastAsia="zh-CN"/>
              </w:rPr>
              <w:t>本地区涉及企业的随机抽查的数据为烟草零售许可证中企业类型中除个体外的其他类型为企业，次数为抽取次数中含企业户数的为1次，不含的为0次</w:t>
            </w:r>
            <w:r>
              <w:rPr>
                <w:rFonts w:hint="eastAsia" w:ascii="Times New Roman" w:hAnsi="Times New Roman" w:cs="Times New Roman"/>
                <w:color w:val="000000"/>
                <w:sz w:val="28"/>
                <w:szCs w:val="28"/>
                <w:vertAlign w:val="baseline"/>
                <w:lang w:val="en-US" w:eastAsia="zh-CN"/>
              </w:rPr>
              <w:t>。</w:t>
            </w:r>
          </w:p>
        </w:tc>
      </w:tr>
    </w:tbl>
    <w:p w14:paraId="653420C1"/>
    <w:sectPr>
      <w:footerReference r:id="rId3" w:type="default"/>
      <w:pgSz w:w="11906" w:h="16838"/>
      <w:pgMar w:top="1701" w:right="1474" w:bottom="1984" w:left="1588" w:header="851" w:footer="992" w:gutter="0"/>
      <w:pgNumType w:fmt="numberInDash"/>
      <w:cols w:space="72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script"/>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56809">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1C9BB4"/>
    <w:multiLevelType w:val="singleLevel"/>
    <w:tmpl w:val="351C9BB4"/>
    <w:lvl w:ilvl="0" w:tentative="0">
      <w:start w:val="1"/>
      <w:numFmt w:val="decimal"/>
      <w:suff w:val="nothing"/>
      <w:lvlText w:val="%1、"/>
      <w:lvlJc w:val="left"/>
      <w:pPr>
        <w:ind w:left="56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810568"/>
    <w:rsid w:val="66761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2025-03-31T06:42:00Z</dcterms:created>
  <dc:creator>lenovo</dc:creator>
  <cp:lastModifiedBy>lenovo</cp:lastModifiedBy>
  <dcterms:modified xsi:type="dcterms:W3CDTF">2025-03-31T06:43:43Z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D7517AE9E7F0478DBD03D8CBFBD8A337_12</vt:lpwstr>
  </property>
</Properties>
</file>